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红十字专项业务费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新疆维吾尔自治区红十字会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新疆维吾尔自治区红十字会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隋霞</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2025年03月12日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 目名称：红十字专项业务费</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根据《中华人民共和国红十字会法》（ 中华人民共和国主席令第 63号），《关于促进红十字事业发展的意见》（ 国发〔2012 〕25 号），《关于进一步促进红十字事业发展的意见》（新政发〔2013〕93 号）以及自治区红十字会“ 三 定”方案赋予的相关职责等文件要求，结合自治区红十字会事业发展的实际需求，设立红十字专项业务费项目，以保障红十字会各项业务工作的正常开展和高质量发展。红十字专项业务费为财政拨款，主要用于自治区红十字会开展相关业务，完成年初制定的各项工作目标的业务经费，项目的主要内容是：对红十字会各类救灾备灾物资的仓储及管理、各类物资的运输、红十字应急救护知识的培训、红十字会各类业务的宣传、红十字青少年及高校红十字运动、红十字网络安全以及信息化建设等多方面的业务。（ 1 ）项目实施主体。项目实施主体为：新疆维吾尔自治区红十字会。</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（2）实施时间。该项目实施时间为2024 年 1 月至 2024 年 12 月。</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完成情况。按照年初项目设定的计划任务分部门实施，备灾救灾物资储存、管理以及物资运输由救灾备灾中心负责实施；自治区红十字会官方网站、公众号信息发布更新、红十字公益广告宣传、红十字业务宣传由事业发展部负责实施；应急救护知识培训、应急救援演练、“红十字博爱送万家” 慰问物资的采购发放由赈济救护部负责实施。相关业务部门按照项目实施方案，于 2024 年12月31日前将全部项目实施完毕，项目的绩效目标全部完成。根据自治区财政厅《关于批复自治区本级2024年部门预算 的通知》（新财预〔2024〕1号）批复情况， 自治区红十字专项业务费预算金额为235万元，全年执行金额235万元，项目资金执行率100% 。其中：用于“红十字博爱送万家”救助物资的采购 20万元；支付各类救灾备灾物资的仓储费管理、各类物资的运输等费用55万元；支付各类红十字业务的宣传费24万元；用于红十字应急救护知识培训、应急救护演练35万元；用于开展红十字业务相关活动的差旅费、信息化建设、网络安全和红十字青少年以及高校红十字运动等各项业务的支出101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（二）项目绩效目标。包括总体目标和阶段性目标。</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自治区红十字会在自治区党委、政府的领导下，紧紧围绕 自治区党委、政府中心工作，依照《中华人民共和国红十字会 法》赋予的职责，大力开展应急救援、应急救护、人道救助， 推动无偿献血、造血干细胞捐献者资料库建设及人体器官（ 组</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织）捐献；红十字青少年、志愿服务及机关建设等红十字工作， 发挥红十字会在党和政府人道领域的助手和联系群众的桥梁纽带作用。</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1 ）完善新疆红十字会系统救灾、救援体系 ，组织一次 模拟灾情的大众卫生及供水演练 1 次，确保自然灾害发生时， 能拉的出、顶的上；</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 ）完善救灾物资的储备、管理及运输机制 ，确保各类 物资在急需时能及时、精准确运送达指定地区；</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（3）广泛宣传“ 人道、博爱、奉献”红十字精神，积极与电台等各类媒体合作,传播红十字各项业务知识；</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（4 ）宣传、普及初级救护知识 ，深入在学校、社区及各类行业，使学生、居民能掌握初级自救、现场救护知识；</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（5 ）大力开展社会救助工作，积极实施红十字救助项目, 为自治区政府分忧，为困难群众解难；</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（6）积极推动和宣传无偿献血、造血干细胞捐献和人体器官捐献, 以“ 三献” 工作为载体，促进民族团结；</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（7 ）践行社会主义核心价值观 ，弘扬社会正能量 ，为实现新疆社会稳定、长治久安的总目标做出贡献。</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2.阶段性目标</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根据《项目支出绩效评价管理办法》（财预〔2020〕10 号） 规定，结合项目相关信息，2024 年度项目绩效目标如下：</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 1 ）项 目产出 目标</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a.产出数量</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租用备灾物资储存仓库面积（平方米）指标=2100 平方米</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红十字公益广告宣传天数指标&gt;=300 天</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红十字网站、公众号发布信息量的条数指标&gt;=600 条</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大众卫生演练&gt;=1次</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配备电动叉车设备=1辆</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培训天数&gt;=1天</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培训人数&gt;=500人</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b.产出质量</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仓储物资管理的完好率指标&gt;=98%</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应急救护培训知识覆盖率指标&gt;=85%</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 ）项 目成本指标</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备灾救灾成本指标&lt;=130 万元</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红十字业务宣传成本指标&lt;=30 万元</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培训人均支出标准&lt;=200元/人/天</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（3）效益指标</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红十字事业可持续发展 持续</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（4）满意度指标</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受益人群满意度指标&gt;=95%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w:t>
      </w:r>
      <w:r>
        <w:rPr>
          <w:rStyle w:val="17"/>
          <w:rFonts w:hint="eastAsia"/>
          <w:spacing w:val="-4"/>
          <w:sz w:val="32"/>
          <w:szCs w:val="32"/>
        </w:rPr>
        <w:t>绩效评价工作开展情况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（一）绩效评价目的、对象和范围。</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1.绩效评价目的。为全面了解该项目预算编制合理性、资金 使用合规性、项目管理的规范性、项 目 目标的实现情况、服务 对象的满意度等，对红十字专项业务项目支出的经济性、效率性、效益性和公平性进行客观、公正的测评、分析和评判，通过本次绩效评价来总结经验和教训，促进项目成果转化和应用，为今后类似项目的长效管理，提供可行性参考建议。</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2.绩效评价对象。本次绩效评价的对象为 2024年红十字专项业务经费，主要评价该项目的投入、产出及效益。</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3.绩效评价范围。本次绩效评价范围主要围绕项目决策情况、 资金管理和使用情况、相关管理制度办法的健全性及执行情况、实现的产出情况、取得的效益情况以及其他相关内容。</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4.绩效评价时段。本次绩效评价工作的评价时段为 ：2025 年1 月-2025 年2 月。</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（二）绩效评价原则、评价指标体系（附表说明）、评价方法、评价标准等。</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1.绩效评价原则。依据《中华人民共和国预算法》《中共中央国务院关于全面实施预算绩效管理的意见》（ 中发〔2018〕34 号）、《项目支出绩效评价管理办法》（财预〔2020〕10 号）、《 自治区党委自治区人民政府关于全面实施预算绩效管理的实施意见》（新党发〔2018〕30 号）《 自治区全面实施预算绩效管理的工作方案》（新财预〔2018〕158 号）《 自治区财政支出绩效评价管理暂行办法》（新财预〔2018〕189号 ）系列文件的要求，本次绩效评价秉承科学规范、公正公开、分级分类、绩效相关等原则，按照从投入、过程到产出效果和影响的绩效逻辑路径，结合项目实际开展情况，运用定量和定性分析相结合的方法，总结经验做法，反思项目实施和管理中的问题，以切实提升财政资金管理的科学化、规范化和精细化水平。</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2.绩效评价指标体系。红十字专项业务经费项目财政支出绩 效评价指标体系严格按照《项目支出绩效评价管理办法》（财预〔2020〕10 号）文件要求设置，指标体系设置一级指标共 3 个，包括产出指标、效益指标，满意度指标三类指标；主要围绕资金使用、项目管理、资源配置等方面，客观分析项目的产出和效果，从而考察项目预算定额标准的合理性，进而提出完善意见。整个评价框架构成体现从投入、过程到产出、效果和影响的绩效逻辑路径。</w:t>
      </w:r>
      <w:r>
        <w:rPr>
          <w:rStyle w:val="17"/>
          <w:rFonts w:hint="eastAsia" w:ascii="楷体" w:hAnsi="楷体" w:eastAsia="楷体"/>
          <w:spacing w:val="-4"/>
          <w:sz w:val="32"/>
          <w:szCs w:val="32"/>
        </w:rPr>
        <w:br w:type="textWrapping"/>
      </w:r>
      <w:r>
        <w:rPr>
          <w:rStyle w:val="17"/>
          <w:rFonts w:hint="eastAsia" w:ascii="楷体" w:hAnsi="楷体" w:eastAsia="楷体"/>
          <w:spacing w:val="-4"/>
          <w:sz w:val="32"/>
          <w:szCs w:val="32"/>
        </w:rPr>
        <w:t>3.评价方法。评价小组结合项目的内容，从通过资料查阅了解项目政策、立项背景和决策过程等，与相关处室了解和基础 数据采集掌握项目实施完成真实情况，并根据该项目资金的性 质和特点，选用比较法、因素分析法、公众评判法以及文献法对项目进行评价，旨在通过综合分析影响绩效目标实现、实施效果的内外部因素，从而评价本项目绩效。</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评价小组根据《 自治区党委 自治区人民政府关于全面实施预算绩效管理的实施意见》（新党发〔2018〕30 号），《项目支出绩效评价管理办法》（财预〔2020〕10  号），《 自治区红十字会预算支出绩效管理办法》，对红十字专项业务经费项目开展评价，严格按照工作方案，采取现场和非现场评价相结合的方式开展调研、查阅基础资料、数据采集、问卷调查、访谈、数据分析等绩效评价工作。全面收集项目相关资料和基础数据，完成绩效评价内容和评价指标体系的评价印证资料。整理该项目主要采用查阅相关文件政策、会计凭证等资料，采集项目资金支出情况、项目完成情况及项目成本构成等数据资料，对采集的数据做详细的分析和统计。主要收集了项目预算编制、申报材料、项目支付审批材料、会后统计数据、相关跟踪报道等资料采集数据进行了分析汇总。</w:t>
      </w:r>
    </w:p>
    <w:p>
      <w:pPr>
        <w:spacing w:line="540" w:lineRule="exact"/>
        <w:ind w:firstLine="640"/>
        <w:rPr>
          <w:rStyle w:val="17"/>
          <w:rFonts w:hint="eastAsia" w:ascii="黑体" w:hAnsi="黑体" w:eastAsia="黑体"/>
          <w:b w:val="0"/>
          <w:spacing w:val="-4"/>
          <w:sz w:val="32"/>
          <w:szCs w:val="32"/>
        </w:rPr>
      </w:pPr>
      <w:r>
        <w:rPr>
          <w:rStyle w:val="17"/>
          <w:rFonts w:hint="eastAsia" w:ascii="黑体" w:hAnsi="黑体" w:eastAsia="黑体"/>
          <w:b w:val="0"/>
          <w:spacing w:val="-4"/>
          <w:sz w:val="32"/>
          <w:szCs w:val="32"/>
        </w:rPr>
        <w:t>三、</w:t>
      </w:r>
      <w:r>
        <w:rPr>
          <w:rStyle w:val="17"/>
          <w:rFonts w:hint="eastAsia"/>
          <w:spacing w:val="-4"/>
          <w:sz w:val="32"/>
          <w:szCs w:val="32"/>
        </w:rPr>
        <w:t>综合评价情况及评价结论</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通过调研、数据分析、访谈等方式，根据绩效评价方案确 定的指标体系及评分标准，对“红十字专项业务经费项目” 绩效进 行客观评价，得出综合评价结论如下：红十字专项业务经费项目共设置绩效目标 15 个，实现目标 14 个，完成率 93.3% 。项 目产出指标共设置10 个，项目成本指标共设置3个，项目效益指标设置1个，项目满意度指标设置 1个， 目标完成情况较好，很大程度上实现了预期 目标。资金执行分值自评分为 10 分，各项预算绩效指标自评分数为83 分，本项目整体绩效自评得分 93分 ，红十字专项业务经费项目绩效自评为优。</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w:t>
      </w:r>
      <w:r>
        <w:rPr>
          <w:rStyle w:val="17"/>
          <w:rFonts w:hint="eastAsia"/>
          <w:spacing w:val="-4"/>
          <w:sz w:val="32"/>
          <w:szCs w:val="32"/>
        </w:rPr>
        <w:t>绩效评价指标分析</w:t>
      </w:r>
      <w:r>
        <w:rPr>
          <w:rStyle w:val="17"/>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7"/>
          <w:rFonts w:hint="eastAsia" w:ascii="楷体" w:hAnsi="楷体" w:eastAsia="楷体"/>
          <w:spacing w:val="-4"/>
          <w:sz w:val="32"/>
          <w:szCs w:val="32"/>
        </w:rPr>
      </w:pPr>
    </w:p>
    <w:p>
      <w:pPr>
        <w:spacing w:line="540" w:lineRule="exact"/>
        <w:ind w:firstLine="567"/>
        <w:rPr>
          <w:rStyle w:val="17"/>
          <w:rFonts w:hint="eastAsia" w:ascii="楷体" w:hAnsi="楷体" w:eastAsia="楷体"/>
          <w:spacing w:val="-4"/>
          <w:sz w:val="32"/>
          <w:szCs w:val="32"/>
        </w:rPr>
      </w:pPr>
    </w:p>
    <w:p>
      <w:pPr>
        <w:spacing w:line="540" w:lineRule="exact"/>
        <w:ind w:firstLine="640"/>
        <w:rPr>
          <w:rStyle w:val="17"/>
          <w:rFonts w:ascii="黑体" w:hAnsi="黑体" w:eastAsia="黑体"/>
          <w:spacing w:val="-4"/>
          <w:sz w:val="32"/>
          <w:szCs w:val="32"/>
        </w:rPr>
      </w:pPr>
      <w:r>
        <w:rPr>
          <w:rStyle w:val="17"/>
          <w:rFonts w:hint="eastAsia" w:ascii="黑体" w:hAnsi="黑体" w:eastAsia="黑体"/>
          <w:b w:val="0"/>
          <w:spacing w:val="-4"/>
          <w:sz w:val="32"/>
          <w:szCs w:val="32"/>
          <w:lang w:eastAsia="zh-CN"/>
        </w:rPr>
        <w:t>五</w:t>
      </w:r>
      <w:r>
        <w:rPr>
          <w:rStyle w:val="17"/>
          <w:rFonts w:hint="eastAsia" w:ascii="黑体" w:hAnsi="黑体" w:eastAsia="黑体"/>
          <w:b w:val="0"/>
          <w:spacing w:val="-4"/>
          <w:sz w:val="32"/>
          <w:szCs w:val="32"/>
        </w:rPr>
        <w:t>、</w:t>
      </w:r>
      <w:r>
        <w:rPr>
          <w:rStyle w:val="17"/>
          <w:rFonts w:ascii="黑体" w:hAnsi="黑体" w:eastAsia="黑体"/>
          <w:b w:val="0"/>
          <w:spacing w:val="-4"/>
          <w:sz w:val="32"/>
          <w:szCs w:val="32"/>
        </w:rPr>
        <w:t>主要经验及做法、存在的问题及原因分析</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自治区红十字会严格按照财政厅关于绩效管理工作的相关要求，切实加强对资金绩效管理，发挥资金效益的最大化。从 绩效目标到年度执行，根据财政厅关于实施绩效监控的要求，及时对项目各项指标进行监控，将存在的问题反馈项目实施部门，对实施过程中产生的偏差及时进行纠正。2024 年度，红十字会绩效工作虽然取得一定成绩，但工作还存在不足：一是绩效管理工作还比较粗放，尤其是业务部门，对绩效管理工作的重大意义不够重视，对绩效管理要求的认识与理解还不到位，工作不够细致，有时工作滞后。二是个别指标设置的不科学，前期调研不充分，随着社会发展变化，有些因素发生改变，虽然及时进行了调整，但与年初设定的数值相比差距较大。三是报销的滞后影响资金进度。针对存在的不足，下一步我们将加强财务管理，针对上述存在的问题的实际情况，一是加大项目前期调研，合理设置绩效指标数值，确保项目实施过程中降低偏差度，指标更加科学合理；二是加强项目的事前、事中、事后的监督，确保绩效目标不偏差，加快对项目的执行进度；三是利用绩效监控手段及时督促业务部门实施，确保项目的实施进度与资金进度相适应。</w:t>
      </w:r>
    </w:p>
    <w:p>
      <w:pPr>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六</w:t>
      </w:r>
      <w:r>
        <w:rPr>
          <w:rStyle w:val="17"/>
          <w:rFonts w:ascii="黑体" w:hAnsi="黑体" w:eastAsia="黑体"/>
          <w:b w:val="0"/>
          <w:spacing w:val="-4"/>
          <w:sz w:val="32"/>
          <w:szCs w:val="32"/>
        </w:rPr>
        <w:t>、有关建议</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强化项目单位预算绩效管理专业能力建设，完善预算项 目绩效目标编制审核流程，针对项目绩效目标表设置中存在的问题，建议财政厅加强对项目实施单位业务人员和财务人员预算绩效管理专业知识体系的培训。</w:t>
      </w:r>
    </w:p>
    <w:p>
      <w:pPr>
        <w:spacing w:line="540" w:lineRule="exact"/>
        <w:ind w:firstLine="567"/>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七</w:t>
      </w:r>
      <w:r>
        <w:rPr>
          <w:rStyle w:val="17"/>
          <w:rFonts w:hint="eastAsia" w:ascii="黑体" w:hAnsi="黑体" w:eastAsia="黑体"/>
          <w:b w:val="0"/>
          <w:spacing w:val="-4"/>
          <w:sz w:val="32"/>
          <w:szCs w:val="32"/>
        </w:rPr>
        <w:t>、其他需要说明的问题</w:t>
      </w:r>
    </w:p>
    <w:p>
      <w:pPr>
        <w:spacing w:line="540" w:lineRule="exact"/>
        <w:ind w:firstLine="627" w:firstLineChars="200"/>
        <w:rPr>
          <w:rStyle w:val="17"/>
          <w:rFonts w:ascii="楷体" w:hAnsi="楷体" w:eastAsia="楷体"/>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Calibri">
    <w:panose1 w:val="020F0502020204030204"/>
    <w:charset w:val="00"/>
    <w:family w:val="decorative"/>
    <w:pitch w:val="default"/>
    <w:sig w:usb0="E10002FF" w:usb1="4000ACFF" w:usb2="00000009" w:usb3="00000000" w:csb0="2000019F" w:csb1="00000000"/>
  </w:font>
  <w:font w:name="Cambria">
    <w:panose1 w:val="02040503050406030204"/>
    <w:charset w:val="00"/>
    <w:family w:val="modern"/>
    <w:pitch w:val="default"/>
    <w:sig w:usb0="E00002FF" w:usb1="400004FF" w:usb2="00000000" w:usb3="00000000" w:csb0="2000019F" w:csb1="00000000"/>
  </w:font>
  <w:font w:name="仿宋">
    <w:panose1 w:val="02010609060101010101"/>
    <w:charset w:val="86"/>
    <w:family w:val="swiss"/>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script"/>
    <w:pitch w:val="default"/>
    <w:sig w:usb0="00000000" w:usb1="00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script"/>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200F0A14"/>
    <w:rsid w:val="4C3D1751"/>
    <w:rsid w:val="4D2606A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ScaleCrop>false</ScaleCrop>
  <LinksUpToDate>false</LinksUpToDate>
  <CharactersWithSpaces>760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2025-08-25T09:35:58Z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160D1BA1944349B08C48068401F6E698</vt:lpwstr>
  </property>
</Properties>
</file>